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firstLine="0" w:firstLineChars="0"/>
        <w:jc w:val="distribute"/>
        <w:textAlignment w:val="auto"/>
        <w:rPr>
          <w:rFonts w:hint="eastAsia" w:ascii="仿宋_GB2312" w:hAnsi="仿宋_GB2312" w:eastAsia="仿宋_GB2312" w:cs="仿宋_GB2312"/>
          <w:color w:val="FF0000"/>
          <w:w w:val="9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firstLine="0" w:firstLineChars="0"/>
        <w:jc w:val="distribute"/>
        <w:textAlignment w:val="auto"/>
        <w:rPr>
          <w:rFonts w:hint="eastAsia" w:ascii="仿宋_GB2312" w:hAnsi="仿宋_GB2312" w:eastAsia="仿宋_GB2312" w:cs="仿宋_GB2312"/>
          <w:color w:val="FF0000"/>
          <w:w w:val="9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firstLine="0" w:firstLineChars="0"/>
        <w:jc w:val="distribute"/>
        <w:textAlignment w:val="auto"/>
        <w:rPr>
          <w:rFonts w:hint="eastAsia" w:ascii="仿宋_GB2312" w:hAnsi="仿宋_GB2312" w:eastAsia="仿宋_GB2312" w:cs="仿宋_GB2312"/>
          <w:color w:val="FF0000"/>
          <w:w w:val="90"/>
          <w:sz w:val="32"/>
          <w:szCs w:val="32"/>
        </w:rPr>
      </w:pPr>
    </w:p>
    <w:p>
      <w:pPr>
        <w:adjustRightInd w:val="0"/>
        <w:snapToGrid w:val="0"/>
        <w:spacing w:line="288" w:lineRule="auto"/>
        <w:ind w:left="0" w:leftChars="0" w:firstLine="0" w:firstLineChars="0"/>
        <w:jc w:val="distribute"/>
        <w:rPr>
          <w:rFonts w:ascii="方正小标宋简体" w:hAnsi="方正小标宋简体" w:eastAsia="方正小标宋简体" w:cs="方正小标宋简体"/>
          <w:color w:val="FF0000"/>
          <w:w w:val="50"/>
          <w:sz w:val="96"/>
          <w:szCs w:val="96"/>
        </w:rPr>
      </w:pPr>
      <w:r>
        <w:rPr>
          <w:rFonts w:hint="eastAsia" w:ascii="方正小标宋简体" w:hAnsi="方正小标宋简体" w:eastAsia="方正小标宋简体" w:cs="方正小标宋简体"/>
          <w:color w:val="FF0000"/>
          <w:w w:val="90"/>
          <w:sz w:val="96"/>
          <w:szCs w:val="96"/>
        </w:rPr>
        <w:t>嘉兴职业技术学院文件</w:t>
      </w:r>
    </w:p>
    <w:p>
      <w:pPr>
        <w:adjustRightInd w:val="0"/>
        <w:snapToGrid w:val="0"/>
        <w:spacing w:line="348" w:lineRule="auto"/>
        <w:ind w:firstLine="218" w:firstLineChars="200"/>
        <w:jc w:val="center"/>
        <w:rPr>
          <w:rFonts w:ascii="仿宋_GB2312" w:eastAsia="仿宋_GB2312"/>
          <w:sz w:val="10"/>
          <w:szCs w:val="24"/>
        </w:rPr>
      </w:pPr>
    </w:p>
    <w:p>
      <w:pPr>
        <w:adjustRightInd w:val="0"/>
        <w:snapToGrid w:val="0"/>
        <w:spacing w:line="348" w:lineRule="auto"/>
        <w:jc w:val="center"/>
        <w:rPr>
          <w:rFonts w:ascii="Times New Roman" w:hAnsi="Times New Roman"/>
          <w:sz w:val="32"/>
          <w:szCs w:val="24"/>
        </w:rPr>
      </w:pPr>
      <w:r>
        <w:rPr>
          <w:rFonts w:hint="eastAsia" w:ascii="仿宋_GB2312" w:eastAsia="仿宋_GB2312"/>
          <w:sz w:val="32"/>
          <w:szCs w:val="24"/>
        </w:rPr>
        <w:t>嘉职院〔</w:t>
      </w:r>
      <w:r>
        <w:rPr>
          <w:rFonts w:ascii="仿宋_GB2312" w:eastAsia="仿宋_GB2312"/>
          <w:sz w:val="32"/>
          <w:szCs w:val="24"/>
        </w:rPr>
        <w:t>202</w:t>
      </w:r>
      <w:r>
        <w:rPr>
          <w:rFonts w:hint="eastAsia" w:ascii="仿宋_GB2312" w:eastAsia="仿宋_GB2312"/>
          <w:sz w:val="32"/>
          <w:szCs w:val="24"/>
        </w:rPr>
        <w:t>1〕</w:t>
      </w:r>
      <w:r>
        <w:rPr>
          <w:rFonts w:hint="eastAsia" w:ascii="仿宋_GB2312"/>
          <w:sz w:val="32"/>
          <w:szCs w:val="24"/>
          <w:lang w:val="en-US" w:eastAsia="zh-CN"/>
        </w:rPr>
        <w:t>89</w:t>
      </w:r>
      <w:r>
        <w:rPr>
          <w:rFonts w:hint="eastAsia" w:ascii="仿宋_GB2312" w:eastAsia="仿宋_GB2312"/>
          <w:sz w:val="32"/>
          <w:szCs w:val="24"/>
        </w:rPr>
        <w:t>号</w:t>
      </w:r>
    </w:p>
    <w:p>
      <w:pPr>
        <w:adjustRightInd w:val="0"/>
        <w:snapToGrid w:val="0"/>
        <w:spacing w:line="348" w:lineRule="auto"/>
        <w:ind w:left="0" w:leftChars="0" w:firstLine="0" w:firstLineChars="0"/>
        <w:rPr>
          <w:rFonts w:ascii="Times New Roman" w:hAnsi="Times New Roman"/>
          <w:sz w:val="32"/>
          <w:szCs w:val="24"/>
        </w:rPr>
      </w:pPr>
      <w:r>
        <w:rPr>
          <w:rFonts w:ascii="Times New Roman" w:hAnsi="Times New Roman"/>
          <w:sz w:val="32"/>
          <w:szCs w:val="24"/>
        </w:rPr>
        <w:drawing>
          <wp:inline distT="0" distB="0" distL="114300" distR="114300">
            <wp:extent cx="5615305" cy="38100"/>
            <wp:effectExtent l="0" t="0" r="4445" b="0"/>
            <wp:docPr id="5" name="图片 5" descr="C:\Users\ADMINI~1\AppData\Local\Temp\ksohtml1283836\wps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ADMINI~1\AppData\Local\Temp\ksohtml1283836\wps1.pn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5305" cy="3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after="120" w:line="348" w:lineRule="auto"/>
        <w:ind w:firstLine="378" w:firstLineChars="200"/>
        <w:rPr>
          <w:rFonts w:eastAsia="仿宋_GB2312"/>
          <w:sz w:val="18"/>
          <w:szCs w:val="13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0" w:firstLineChars="0"/>
        <w:jc w:val="center"/>
        <w:textAlignment w:val="auto"/>
        <w:rPr>
          <w:rFonts w:hint="eastAsia" w:ascii="方正大标宋简体" w:hAnsi="方正大标宋简体" w:eastAsia="方正大标宋简体" w:cs="方正大标宋简体"/>
          <w:b/>
          <w:bCs w:val="0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方正大标宋简体" w:hAnsi="方正大标宋简体" w:eastAsia="方正大标宋简体" w:cs="方正大标宋简体"/>
          <w:b/>
          <w:bCs w:val="0"/>
          <w:snapToGrid w:val="0"/>
          <w:kern w:val="0"/>
          <w:sz w:val="44"/>
          <w:szCs w:val="44"/>
        </w:rPr>
        <w:t>嘉兴职业技术学院</w:t>
      </w:r>
      <w:r>
        <w:rPr>
          <w:rFonts w:hint="eastAsia" w:ascii="方正大标宋简体" w:hAnsi="方正大标宋简体" w:eastAsia="方正大标宋简体" w:cs="方正大标宋简体"/>
          <w:b/>
          <w:bCs w:val="0"/>
          <w:snapToGrid w:val="0"/>
          <w:kern w:val="0"/>
          <w:sz w:val="44"/>
          <w:szCs w:val="44"/>
        </w:rPr>
        <w:br w:type="textWrapping"/>
      </w:r>
      <w:r>
        <w:rPr>
          <w:rFonts w:hint="eastAsia" w:ascii="方正大标宋简体" w:hAnsi="方正大标宋简体" w:eastAsia="方正大标宋简体" w:cs="方正大标宋简体"/>
          <w:b/>
          <w:bCs w:val="0"/>
          <w:color w:val="000000" w:themeColor="text1"/>
          <w:kern w:val="44"/>
          <w:sz w:val="44"/>
          <w:szCs w:val="44"/>
          <w14:textFill>
            <w14:solidFill>
              <w14:schemeClr w14:val="tx1"/>
            </w14:solidFill>
          </w14:textFill>
        </w:rPr>
        <w:t>关于</w:t>
      </w:r>
      <w:r>
        <w:rPr>
          <w:rFonts w:hint="eastAsia" w:ascii="方正大标宋简体" w:hAnsi="方正大标宋简体" w:eastAsia="方正大标宋简体" w:cs="方正大标宋简体"/>
          <w:b/>
          <w:bCs w:val="0"/>
          <w:color w:val="000000" w:themeColor="text1"/>
          <w:kern w:val="44"/>
          <w:sz w:val="44"/>
          <w:szCs w:val="44"/>
          <w:lang w:eastAsia="zh-CN"/>
          <w14:textFill>
            <w14:solidFill>
              <w14:schemeClr w14:val="tx1"/>
            </w14:solidFill>
          </w14:textFill>
        </w:rPr>
        <w:t>印发</w:t>
      </w:r>
      <w:r>
        <w:rPr>
          <w:rFonts w:hint="eastAsia" w:ascii="方正大标宋简体" w:hAnsi="方正大标宋简体" w:eastAsia="方正大标宋简体" w:cs="方正大标宋简体"/>
          <w:b/>
          <w:bCs w:val="0"/>
          <w:color w:val="000000" w:themeColor="text1"/>
          <w:kern w:val="44"/>
          <w:sz w:val="44"/>
          <w:szCs w:val="44"/>
          <w14:textFill>
            <w14:solidFill>
              <w14:schemeClr w14:val="tx1"/>
            </w14:solidFill>
          </w14:textFill>
        </w:rPr>
        <w:t>课程重修管理办法的通知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0" w:firstLineChars="0"/>
        <w:jc w:val="left"/>
        <w:textAlignment w:val="auto"/>
        <w:rPr>
          <w:rFonts w:hint="eastAsia" w:ascii="仿宋_GB2312"/>
          <w:color w:val="000000" w:themeColor="text1"/>
          <w:szCs w:val="32"/>
          <w14:textFill>
            <w14:solidFill>
              <w14:schemeClr w14:val="tx1"/>
            </w14:solidFill>
          </w14:textFill>
        </w:rPr>
      </w:pP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0" w:firstLineChars="0"/>
        <w:jc w:val="left"/>
        <w:textAlignment w:val="auto"/>
        <w:rPr>
          <w:rFonts w:ascii="仿宋_GB2312"/>
          <w:color w:val="000000" w:themeColor="text1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/>
          <w:color w:val="000000" w:themeColor="text1"/>
          <w:szCs w:val="32"/>
          <w14:textFill>
            <w14:solidFill>
              <w14:schemeClr w14:val="tx1"/>
            </w14:solidFill>
          </w14:textFill>
        </w:rPr>
        <w:t>各二级学院、各部门：</w:t>
      </w:r>
    </w:p>
    <w:p>
      <w:pPr>
        <w:adjustRightInd w:val="0"/>
        <w:snapToGrid w:val="0"/>
        <w:jc w:val="both"/>
        <w:rPr>
          <w:rFonts w:hint="eastAsia" w:ascii="仿宋_GB2312" w:eastAsia="仿宋_GB2312"/>
          <w:szCs w:val="32"/>
          <w:lang w:eastAsia="zh-CN"/>
        </w:rPr>
      </w:pPr>
      <w:r>
        <w:rPr>
          <w:rFonts w:hint="eastAsia" w:ascii="仿宋_GB2312"/>
          <w:szCs w:val="32"/>
          <w:lang w:eastAsia="zh-CN"/>
        </w:rPr>
        <w:t>学校课程重修管理办法已经学校研究通过，现予以印发，请遵照执行。</w:t>
      </w:r>
    </w:p>
    <w:p>
      <w:pPr>
        <w:pStyle w:val="5"/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623" w:right="640" w:hanging="622" w:hangingChars="200"/>
        <w:jc w:val="right"/>
        <w:textAlignment w:val="auto"/>
        <w:rPr>
          <w:rFonts w:ascii="仿宋_GB2312"/>
          <w:szCs w:val="32"/>
        </w:rPr>
      </w:pPr>
    </w:p>
    <w:p>
      <w:pPr>
        <w:pStyle w:val="5"/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0" w:leftChars="0" w:right="640" w:firstLine="0" w:firstLineChars="0"/>
        <w:jc w:val="both"/>
        <w:textAlignment w:val="auto"/>
        <w:rPr>
          <w:rFonts w:ascii="仿宋_GB2312"/>
          <w:szCs w:val="32"/>
        </w:rPr>
      </w:pPr>
    </w:p>
    <w:p>
      <w:pPr>
        <w:pStyle w:val="5"/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623" w:right="640" w:hanging="622" w:hangingChars="200"/>
        <w:jc w:val="center"/>
        <w:textAlignment w:val="auto"/>
        <w:rPr>
          <w:rFonts w:ascii="仿宋_GB2312"/>
          <w:sz w:val="32"/>
          <w:szCs w:val="32"/>
        </w:rPr>
      </w:pPr>
      <w:r>
        <w:rPr>
          <w:rFonts w:hint="eastAsia" w:ascii="仿宋_GB2312"/>
          <w:sz w:val="32"/>
          <w:szCs w:val="32"/>
          <w:lang w:val="en-US" w:eastAsia="zh-CN"/>
        </w:rPr>
        <w:t xml:space="preserve">                     </w:t>
      </w:r>
      <w:r>
        <w:rPr>
          <w:rFonts w:hint="eastAsia" w:ascii="仿宋_GB2312"/>
          <w:sz w:val="32"/>
          <w:szCs w:val="32"/>
        </w:rPr>
        <w:t>嘉兴职业技术学院</w:t>
      </w:r>
    </w:p>
    <w:p>
      <w:pPr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left="659" w:right="630" w:hanging="658" w:hangingChars="200"/>
        <w:jc w:val="center"/>
        <w:textAlignment w:val="auto"/>
        <w:rPr>
          <w:rFonts w:ascii="仿宋_GB2312"/>
          <w:sz w:val="32"/>
          <w:szCs w:val="32"/>
        </w:rPr>
      </w:pPr>
      <w:r>
        <w:rPr>
          <w:rFonts w:hint="eastAsia" w:ascii="仿宋_GB2312"/>
          <w:sz w:val="32"/>
          <w:szCs w:val="32"/>
          <w:lang w:val="en-US" w:eastAsia="zh-CN"/>
        </w:rPr>
        <w:t xml:space="preserve">                           </w:t>
      </w:r>
      <w:r>
        <w:rPr>
          <w:rFonts w:hint="eastAsia" w:ascii="仿宋_GB2312"/>
          <w:sz w:val="32"/>
          <w:szCs w:val="32"/>
        </w:rPr>
        <w:t>202</w:t>
      </w:r>
      <w:r>
        <w:rPr>
          <w:rFonts w:ascii="仿宋_GB2312"/>
          <w:sz w:val="32"/>
          <w:szCs w:val="32"/>
        </w:rPr>
        <w:t>1</w:t>
      </w:r>
      <w:r>
        <w:rPr>
          <w:rFonts w:hint="eastAsia" w:ascii="仿宋_GB2312"/>
          <w:sz w:val="32"/>
          <w:szCs w:val="32"/>
        </w:rPr>
        <w:t>年</w:t>
      </w:r>
      <w:r>
        <w:rPr>
          <w:rFonts w:hint="eastAsia" w:ascii="仿宋_GB2312"/>
          <w:sz w:val="32"/>
          <w:szCs w:val="32"/>
          <w:lang w:val="en-US" w:eastAsia="zh-CN"/>
        </w:rPr>
        <w:t>8</w:t>
      </w:r>
      <w:r>
        <w:rPr>
          <w:rFonts w:hint="eastAsia" w:ascii="仿宋_GB2312"/>
          <w:sz w:val="32"/>
          <w:szCs w:val="32"/>
        </w:rPr>
        <w:t>月</w:t>
      </w:r>
      <w:r>
        <w:rPr>
          <w:rFonts w:hint="eastAsia" w:ascii="仿宋_GB2312"/>
          <w:sz w:val="32"/>
          <w:szCs w:val="32"/>
          <w:lang w:val="en-US" w:eastAsia="zh-CN"/>
        </w:rPr>
        <w:t>19</w:t>
      </w:r>
      <w:r>
        <w:rPr>
          <w:rFonts w:hint="eastAsia" w:ascii="仿宋_GB2312"/>
          <w:sz w:val="32"/>
          <w:szCs w:val="32"/>
        </w:rPr>
        <w:t>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700" w:lineRule="exact"/>
        <w:ind w:firstLine="0" w:firstLineChars="0"/>
        <w:contextualSpacing/>
        <w:jc w:val="both"/>
        <w:textAlignment w:val="auto"/>
        <w:rPr>
          <w:rFonts w:hint="eastAsia" w:ascii="方正大标宋_GBK" w:hAnsi="方正大标宋_GBK" w:eastAsia="方正大标宋_GBK" w:cs="方正大标宋_GBK"/>
          <w:color w:val="000000"/>
          <w:sz w:val="32"/>
          <w:szCs w:val="32"/>
        </w:rPr>
      </w:pPr>
    </w:p>
    <w:p>
      <w:pPr>
        <w:adjustRightInd w:val="0"/>
        <w:snapToGrid w:val="0"/>
        <w:spacing w:line="240" w:lineRule="auto"/>
        <w:ind w:firstLine="0" w:firstLineChars="0"/>
        <w:jc w:val="center"/>
        <w:rPr>
          <w:rFonts w:ascii="方正大标宋简体" w:hAnsi="方正大标宋简体" w:eastAsia="方正大标宋简体" w:cs="方正大标宋简体"/>
          <w:b/>
          <w:bCs/>
          <w:color w:val="auto"/>
          <w:spacing w:val="-2"/>
          <w:sz w:val="44"/>
          <w:szCs w:val="44"/>
        </w:rPr>
      </w:pPr>
      <w:r>
        <w:rPr>
          <w:rFonts w:hint="eastAsia" w:ascii="方正大标宋简体" w:hAnsi="方正大标宋简体" w:eastAsia="方正大标宋简体" w:cs="方正大标宋简体"/>
          <w:b/>
          <w:bCs/>
          <w:color w:val="auto"/>
          <w:spacing w:val="-2"/>
          <w:sz w:val="44"/>
          <w:szCs w:val="44"/>
        </w:rPr>
        <w:t>嘉兴职业技术学院课程重修管理办法</w:t>
      </w:r>
    </w:p>
    <w:p>
      <w:pPr>
        <w:adjustRightInd/>
        <w:snapToGrid/>
        <w:spacing w:line="240" w:lineRule="auto"/>
        <w:ind w:firstLine="658" w:firstLineChars="200"/>
        <w:rPr>
          <w:rFonts w:hint="eastAsia" w:ascii="仿宋_GB2312" w:hAnsi="仿宋_GB2312" w:eastAsia="仿宋_GB2312" w:cs="仿宋_GB2312"/>
          <w:color w:val="auto"/>
          <w:sz w:val="32"/>
          <w:szCs w:val="36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658" w:firstLineChars="20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6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6"/>
        </w:rPr>
        <w:t>重修是学分制的一种修读方式。重修</w:t>
      </w:r>
      <w:r>
        <w:rPr>
          <w:rFonts w:hint="eastAsia" w:ascii="仿宋_GB2312" w:hAnsi="仿宋_GB2312" w:eastAsia="仿宋_GB2312" w:cs="仿宋_GB2312"/>
          <w:color w:val="auto"/>
          <w:sz w:val="32"/>
          <w:szCs w:val="36"/>
          <w:lang w:eastAsia="zh-CN"/>
        </w:rPr>
        <w:t>属于</w:t>
      </w:r>
      <w:r>
        <w:rPr>
          <w:rFonts w:hint="eastAsia" w:ascii="仿宋_GB2312" w:hAnsi="仿宋_GB2312" w:eastAsia="仿宋_GB2312" w:cs="仿宋_GB2312"/>
          <w:color w:val="auto"/>
          <w:sz w:val="32"/>
          <w:szCs w:val="36"/>
        </w:rPr>
        <w:t>正常的学籍、选课和成绩管理等范畴。随着弹性学制的推行，学生重修课程增多，</w:t>
      </w:r>
      <w:r>
        <w:rPr>
          <w:rFonts w:hint="eastAsia" w:ascii="仿宋_GB2312" w:hAnsi="仿宋_GB2312" w:eastAsia="仿宋_GB2312" w:cs="仿宋_GB2312"/>
          <w:color w:val="auto"/>
          <w:sz w:val="32"/>
          <w:szCs w:val="36"/>
          <w:lang w:eastAsia="zh-CN"/>
        </w:rPr>
        <w:t>为</w:t>
      </w:r>
      <w:r>
        <w:rPr>
          <w:rFonts w:hint="eastAsia" w:ascii="仿宋_GB2312" w:hAnsi="仿宋_GB2312" w:eastAsia="仿宋_GB2312" w:cs="仿宋_GB2312"/>
          <w:color w:val="auto"/>
          <w:sz w:val="32"/>
          <w:szCs w:val="36"/>
        </w:rPr>
        <w:t>规范管理特制定本办法。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658" w:firstLineChars="200"/>
        <w:textAlignment w:val="auto"/>
        <w:rPr>
          <w:rFonts w:ascii="黑体" w:hAnsi="黑体" w:eastAsia="黑体" w:cs="黑体"/>
          <w:color w:val="auto"/>
          <w:sz w:val="32"/>
          <w:szCs w:val="36"/>
        </w:rPr>
      </w:pPr>
      <w:r>
        <w:rPr>
          <w:rFonts w:hint="eastAsia" w:ascii="黑体" w:hAnsi="黑体" w:eastAsia="黑体" w:cs="黑体"/>
          <w:color w:val="auto"/>
          <w:sz w:val="32"/>
          <w:szCs w:val="36"/>
        </w:rPr>
        <w:t>一、重修的对象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658" w:firstLineChars="20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6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6"/>
        </w:rPr>
        <w:t>重修课程仅限于必修课和专业限选（模块、方向等）课，学生有下列情形之一，必须申请参加重修：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658" w:firstLineChars="20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6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6"/>
        </w:rPr>
        <w:t>1.期末考试旷考或考试违纪的；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658" w:firstLineChars="20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6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6"/>
        </w:rPr>
        <w:t>2.经补考后仍不及格或补考缺考的；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658" w:firstLineChars="20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6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6"/>
        </w:rPr>
        <w:t>3.缓考不及格的。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658" w:firstLineChars="200"/>
        <w:textAlignment w:val="auto"/>
        <w:rPr>
          <w:rFonts w:ascii="黑体" w:hAnsi="黑体" w:eastAsia="黑体" w:cs="黑体"/>
          <w:color w:val="auto"/>
          <w:sz w:val="32"/>
          <w:szCs w:val="36"/>
        </w:rPr>
      </w:pPr>
      <w:r>
        <w:rPr>
          <w:rFonts w:hint="eastAsia" w:ascii="黑体" w:hAnsi="黑体" w:eastAsia="黑体" w:cs="黑体"/>
          <w:color w:val="auto"/>
          <w:sz w:val="32"/>
          <w:szCs w:val="36"/>
        </w:rPr>
        <w:t>二、重修的方式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658" w:firstLineChars="20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6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6"/>
        </w:rPr>
        <w:t>１</w:t>
      </w:r>
      <w:r>
        <w:rPr>
          <w:rFonts w:hint="eastAsia" w:ascii="仿宋_GB2312" w:hAnsi="仿宋_GB2312" w:cs="仿宋_GB2312"/>
          <w:color w:val="auto"/>
          <w:sz w:val="32"/>
          <w:szCs w:val="36"/>
          <w:lang w:val="en-US" w:eastAsia="zh-CN"/>
        </w:rPr>
        <w:t>.</w:t>
      </w:r>
      <w:r>
        <w:rPr>
          <w:rFonts w:hint="eastAsia" w:ascii="仿宋_GB2312" w:hAnsi="仿宋_GB2312" w:eastAsia="仿宋_GB2312" w:cs="仿宋_GB2312"/>
          <w:color w:val="auto"/>
          <w:sz w:val="32"/>
          <w:szCs w:val="36"/>
        </w:rPr>
        <w:t>同一门课程重修学生达到15人，原则上须单独开设重修班；未达15人的课程，可跟班听课；如因开课原因或课表冲突，无法跟班听课的，可通过辅导、自学形式进行重修。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658" w:firstLineChars="20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6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6"/>
        </w:rPr>
        <w:t>2.实验（训）、实习、毕业</w:t>
      </w:r>
      <w:r>
        <w:rPr>
          <w:rFonts w:hint="eastAsia" w:ascii="仿宋_GB2312" w:hAnsi="仿宋_GB2312" w:eastAsia="仿宋_GB2312" w:cs="仿宋_GB2312"/>
          <w:color w:val="auto"/>
          <w:sz w:val="32"/>
          <w:szCs w:val="36"/>
          <w:lang w:eastAsia="zh-CN"/>
        </w:rPr>
        <w:t>设计</w:t>
      </w:r>
      <w:r>
        <w:rPr>
          <w:rFonts w:hint="eastAsia" w:ascii="仿宋_GB2312" w:hAnsi="仿宋_GB2312" w:eastAsia="仿宋_GB2312" w:cs="仿宋_GB2312"/>
          <w:color w:val="auto"/>
          <w:sz w:val="32"/>
          <w:szCs w:val="36"/>
        </w:rPr>
        <w:t>（</w:t>
      </w:r>
      <w:r>
        <w:rPr>
          <w:rFonts w:hint="eastAsia" w:ascii="仿宋_GB2312" w:hAnsi="仿宋_GB2312" w:eastAsia="仿宋_GB2312" w:cs="仿宋_GB2312"/>
          <w:color w:val="auto"/>
          <w:sz w:val="32"/>
          <w:szCs w:val="36"/>
          <w:lang w:eastAsia="zh-CN"/>
        </w:rPr>
        <w:t>论文</w:t>
      </w:r>
      <w:r>
        <w:rPr>
          <w:rFonts w:hint="eastAsia" w:ascii="仿宋_GB2312" w:hAnsi="仿宋_GB2312" w:eastAsia="仿宋_GB2312" w:cs="仿宋_GB2312"/>
          <w:color w:val="auto"/>
          <w:sz w:val="32"/>
          <w:szCs w:val="36"/>
        </w:rPr>
        <w:t>）等实践性课程不合格者，个人申请后随下一届重修或者由各二级学院（部）在适当时间安排重修。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658" w:firstLineChars="200"/>
        <w:textAlignment w:val="auto"/>
        <w:rPr>
          <w:rFonts w:ascii="黑体" w:hAnsi="黑体" w:eastAsia="黑体" w:cs="黑体"/>
          <w:color w:val="auto"/>
          <w:sz w:val="32"/>
          <w:szCs w:val="36"/>
        </w:rPr>
      </w:pPr>
      <w:r>
        <w:rPr>
          <w:rFonts w:hint="eastAsia" w:ascii="黑体" w:hAnsi="黑体" w:eastAsia="黑体" w:cs="黑体"/>
          <w:color w:val="auto"/>
          <w:sz w:val="32"/>
          <w:szCs w:val="36"/>
        </w:rPr>
        <w:t>三、重修课程的考核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658" w:firstLineChars="20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6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6"/>
        </w:rPr>
        <w:t>1.参加重修学习的学生必须参加重修课程考核，考核合格方可获得该课程学分。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658" w:firstLineChars="20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6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6"/>
        </w:rPr>
        <w:t>2.单独开班重修</w:t>
      </w:r>
      <w:r>
        <w:rPr>
          <w:rFonts w:hint="eastAsia" w:ascii="仿宋_GB2312" w:hAnsi="仿宋_GB2312" w:eastAsia="仿宋_GB2312" w:cs="仿宋_GB2312"/>
          <w:color w:val="auto"/>
          <w:sz w:val="32"/>
          <w:szCs w:val="36"/>
          <w:lang w:eastAsia="zh-CN"/>
        </w:rPr>
        <w:t>的</w:t>
      </w:r>
      <w:r>
        <w:rPr>
          <w:rFonts w:hint="eastAsia" w:ascii="仿宋_GB2312" w:hAnsi="仿宋_GB2312" w:eastAsia="仿宋_GB2312" w:cs="仿宋_GB2312"/>
          <w:color w:val="auto"/>
          <w:sz w:val="32"/>
          <w:szCs w:val="36"/>
        </w:rPr>
        <w:t>学生须在课程结束后参加重修考试，跟班重修</w:t>
      </w:r>
      <w:r>
        <w:rPr>
          <w:rFonts w:hint="eastAsia" w:ascii="仿宋_GB2312" w:hAnsi="仿宋_GB2312" w:eastAsia="仿宋_GB2312" w:cs="仿宋_GB2312"/>
          <w:color w:val="auto"/>
          <w:sz w:val="32"/>
          <w:szCs w:val="36"/>
          <w:lang w:eastAsia="zh-CN"/>
        </w:rPr>
        <w:t>的</w:t>
      </w:r>
      <w:r>
        <w:rPr>
          <w:rFonts w:hint="eastAsia" w:ascii="仿宋_GB2312" w:hAnsi="仿宋_GB2312" w:eastAsia="仿宋_GB2312" w:cs="仿宋_GB2312"/>
          <w:color w:val="auto"/>
          <w:sz w:val="32"/>
          <w:szCs w:val="36"/>
        </w:rPr>
        <w:t>学生须参加课程期末考试，如重修课程期末考试与其他正常考试冲突，须参加下学期初组织的重修考试</w:t>
      </w:r>
      <w:r>
        <w:rPr>
          <w:rFonts w:hint="eastAsia" w:ascii="仿宋_GB2312" w:hAnsi="仿宋_GB2312" w:eastAsia="仿宋_GB2312" w:cs="仿宋_GB2312"/>
          <w:color w:val="auto"/>
          <w:sz w:val="32"/>
          <w:szCs w:val="36"/>
          <w:lang w:eastAsia="zh-CN"/>
        </w:rPr>
        <w:t>。</w:t>
      </w:r>
      <w:r>
        <w:rPr>
          <w:rFonts w:hint="eastAsia" w:ascii="仿宋_GB2312" w:hAnsi="仿宋_GB2312" w:eastAsia="仿宋_GB2312" w:cs="仿宋_GB2312"/>
          <w:color w:val="auto"/>
          <w:sz w:val="32"/>
          <w:szCs w:val="36"/>
        </w:rPr>
        <w:t>自学自修学生学期末不安排考试，直接参加下学期初组织的重修考试。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658" w:firstLineChars="200"/>
        <w:textAlignment w:val="auto"/>
        <w:rPr>
          <w:rFonts w:ascii="黑体" w:hAnsi="黑体" w:eastAsia="黑体" w:cs="黑体"/>
          <w:color w:val="auto"/>
          <w:sz w:val="32"/>
          <w:szCs w:val="36"/>
        </w:rPr>
      </w:pPr>
      <w:r>
        <w:rPr>
          <w:rFonts w:hint="eastAsia" w:ascii="黑体" w:hAnsi="黑体" w:eastAsia="黑体" w:cs="黑体"/>
          <w:color w:val="auto"/>
          <w:sz w:val="32"/>
          <w:szCs w:val="36"/>
        </w:rPr>
        <w:t>四、重修的组织与管理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658" w:firstLineChars="20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6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6"/>
        </w:rPr>
        <w:t>1.学生重修由课程开课部门统一组织和管理。在校学生通过教务系统申请重修，往届因课程未通过</w:t>
      </w:r>
      <w:r>
        <w:rPr>
          <w:rFonts w:hint="eastAsia" w:ascii="仿宋_GB2312" w:hAnsi="仿宋_GB2312" w:eastAsia="仿宋_GB2312" w:cs="仿宋_GB2312"/>
          <w:color w:val="auto"/>
          <w:sz w:val="32"/>
          <w:szCs w:val="36"/>
          <w:lang w:eastAsia="zh-CN"/>
        </w:rPr>
        <w:t>而</w:t>
      </w:r>
      <w:r>
        <w:rPr>
          <w:rFonts w:hint="eastAsia" w:ascii="仿宋_GB2312" w:hAnsi="仿宋_GB2312" w:eastAsia="仿宋_GB2312" w:cs="仿宋_GB2312"/>
          <w:color w:val="auto"/>
          <w:sz w:val="32"/>
          <w:szCs w:val="36"/>
        </w:rPr>
        <w:t>未达毕业资格的学生向开课部门提交课程重修申请表，各二级学院（部）根据学期考试情况核对，并于每学期补考成绩录入完毕后上报需参加重修</w:t>
      </w:r>
      <w:r>
        <w:rPr>
          <w:rFonts w:hint="eastAsia" w:ascii="仿宋_GB2312" w:hAnsi="仿宋_GB2312" w:eastAsia="仿宋_GB2312" w:cs="仿宋_GB2312"/>
          <w:color w:val="auto"/>
          <w:sz w:val="32"/>
          <w:szCs w:val="36"/>
          <w:lang w:eastAsia="zh-CN"/>
        </w:rPr>
        <w:t>的</w:t>
      </w:r>
      <w:r>
        <w:rPr>
          <w:rFonts w:hint="eastAsia" w:ascii="仿宋_GB2312" w:hAnsi="仿宋_GB2312" w:eastAsia="仿宋_GB2312" w:cs="仿宋_GB2312"/>
          <w:color w:val="auto"/>
          <w:sz w:val="32"/>
          <w:szCs w:val="36"/>
        </w:rPr>
        <w:t>学生名单，由教务部决定重修课程的开设。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658" w:firstLineChars="20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6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6"/>
        </w:rPr>
        <w:t>2.单独开班的重修课程，其教学过程一般安排在第</w:t>
      </w:r>
      <w:r>
        <w:rPr>
          <w:rFonts w:hint="eastAsia" w:ascii="仿宋_GB2312" w:hAnsi="仿宋_GB2312" w:eastAsia="仿宋_GB2312" w:cs="仿宋_GB2312"/>
          <w:color w:val="auto"/>
          <w:sz w:val="32"/>
          <w:szCs w:val="36"/>
          <w:lang w:val="en-US" w:eastAsia="zh-CN"/>
        </w:rPr>
        <w:t>5</w:t>
      </w:r>
      <w:r>
        <w:rPr>
          <w:rFonts w:hint="eastAsia" w:ascii="仿宋_GB2312" w:hAnsi="仿宋_GB2312" w:eastAsia="仿宋_GB2312" w:cs="仿宋_GB2312"/>
          <w:color w:val="auto"/>
          <w:sz w:val="32"/>
          <w:szCs w:val="36"/>
        </w:rPr>
        <w:t>周至第15周的晚自修时间或双休日进行，教师应根据学生情况安排授课时数，一般应不低于计划时数的1/3。</w:t>
      </w:r>
      <w:r>
        <w:rPr>
          <w:rFonts w:hint="eastAsia" w:ascii="仿宋_GB2312" w:hAnsi="仿宋_GB2312" w:eastAsia="仿宋_GB2312" w:cs="仿宋_GB2312"/>
          <w:color w:val="auto"/>
          <w:sz w:val="32"/>
          <w:szCs w:val="36"/>
          <w:lang w:eastAsia="zh-CN"/>
        </w:rPr>
        <w:t>教师为</w:t>
      </w:r>
      <w:r>
        <w:rPr>
          <w:rFonts w:hint="eastAsia" w:ascii="仿宋_GB2312" w:hAnsi="仿宋_GB2312" w:eastAsia="仿宋_GB2312" w:cs="仿宋_GB2312"/>
          <w:color w:val="auto"/>
          <w:sz w:val="32"/>
          <w:szCs w:val="36"/>
        </w:rPr>
        <w:t>重修班授课计入</w:t>
      </w:r>
      <w:r>
        <w:rPr>
          <w:rFonts w:hint="eastAsia" w:ascii="仿宋_GB2312" w:hAnsi="仿宋_GB2312" w:eastAsia="仿宋_GB2312" w:cs="仿宋_GB2312"/>
          <w:color w:val="auto"/>
          <w:sz w:val="32"/>
          <w:szCs w:val="36"/>
          <w:lang w:eastAsia="zh-CN"/>
        </w:rPr>
        <w:t>其</w:t>
      </w:r>
      <w:r>
        <w:rPr>
          <w:rFonts w:hint="eastAsia" w:ascii="仿宋_GB2312" w:hAnsi="仿宋_GB2312" w:eastAsia="仿宋_GB2312" w:cs="仿宋_GB2312"/>
          <w:color w:val="auto"/>
          <w:sz w:val="32"/>
          <w:szCs w:val="36"/>
        </w:rPr>
        <w:t>教学工作量。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658" w:firstLineChars="20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6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6"/>
        </w:rPr>
        <w:t>3.跟班听课及单独开班的重修均按正常上课进行考勤。凡缺、旷课累计超过该课程学时数三分之一或者缺交作业（实验报告</w:t>
      </w:r>
      <w:r>
        <w:rPr>
          <w:rFonts w:hint="eastAsia" w:ascii="仿宋_GB2312" w:hAnsi="仿宋_GB2312" w:eastAsia="仿宋_GB2312" w:cs="仿宋_GB2312"/>
          <w:color w:val="auto"/>
          <w:sz w:val="32"/>
          <w:szCs w:val="36"/>
          <w:lang w:eastAsia="zh-CN"/>
        </w:rPr>
        <w:t>等</w:t>
      </w:r>
      <w:r>
        <w:rPr>
          <w:rFonts w:hint="eastAsia" w:ascii="仿宋_GB2312" w:hAnsi="仿宋_GB2312" w:eastAsia="仿宋_GB2312" w:cs="仿宋_GB2312"/>
          <w:color w:val="auto"/>
          <w:sz w:val="32"/>
          <w:szCs w:val="36"/>
        </w:rPr>
        <w:t>）累计达三分之一者，不得参加课程考核，该课程成绩以零分计。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658" w:firstLineChars="20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6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6"/>
        </w:rPr>
        <w:t>4.重修学生成绩由任课教师在</w:t>
      </w:r>
      <w:r>
        <w:rPr>
          <w:rFonts w:hint="eastAsia" w:ascii="仿宋_GB2312" w:hAnsi="仿宋_GB2312" w:eastAsia="仿宋_GB2312" w:cs="仿宋_GB2312"/>
          <w:color w:val="auto"/>
          <w:sz w:val="32"/>
          <w:szCs w:val="36"/>
          <w:lang w:eastAsia="zh-CN"/>
        </w:rPr>
        <w:t>考核</w:t>
      </w:r>
      <w:r>
        <w:rPr>
          <w:rFonts w:hint="eastAsia" w:ascii="仿宋_GB2312" w:hAnsi="仿宋_GB2312" w:eastAsia="仿宋_GB2312" w:cs="仿宋_GB2312"/>
          <w:color w:val="auto"/>
          <w:sz w:val="32"/>
          <w:szCs w:val="36"/>
        </w:rPr>
        <w:t>结束后</w:t>
      </w:r>
      <w:r>
        <w:rPr>
          <w:rFonts w:hint="eastAsia" w:ascii="仿宋_GB2312" w:hAnsi="仿宋_GB2312" w:eastAsia="仿宋_GB2312" w:cs="仿宋_GB2312"/>
          <w:color w:val="auto"/>
          <w:sz w:val="32"/>
          <w:szCs w:val="36"/>
          <w:lang w:val="en-US" w:eastAsia="zh-CN"/>
        </w:rPr>
        <w:t>3</w:t>
      </w:r>
      <w:r>
        <w:rPr>
          <w:rFonts w:hint="eastAsia" w:ascii="仿宋_GB2312" w:hAnsi="仿宋_GB2312" w:eastAsia="仿宋_GB2312" w:cs="仿宋_GB2312"/>
          <w:color w:val="auto"/>
          <w:sz w:val="32"/>
          <w:szCs w:val="36"/>
        </w:rPr>
        <w:t>天内统一录入教务管理系统。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658" w:firstLineChars="200"/>
        <w:textAlignment w:val="auto"/>
        <w:rPr>
          <w:rFonts w:ascii="黑体" w:hAnsi="黑体" w:eastAsia="黑体" w:cs="黑体"/>
          <w:color w:val="auto"/>
          <w:sz w:val="32"/>
          <w:szCs w:val="36"/>
        </w:rPr>
      </w:pPr>
      <w:r>
        <w:rPr>
          <w:rFonts w:hint="eastAsia" w:ascii="黑体" w:hAnsi="黑体" w:eastAsia="黑体" w:cs="黑体"/>
          <w:color w:val="auto"/>
          <w:sz w:val="32"/>
          <w:szCs w:val="36"/>
        </w:rPr>
        <w:t>五、附则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658" w:firstLineChars="20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6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6"/>
        </w:rPr>
        <w:t>1.本办法从2021级学生开始</w:t>
      </w:r>
      <w:r>
        <w:rPr>
          <w:rFonts w:hint="eastAsia" w:ascii="仿宋_GB2312" w:hAnsi="仿宋_GB2312" w:cs="仿宋_GB2312"/>
          <w:color w:val="auto"/>
          <w:sz w:val="32"/>
          <w:szCs w:val="36"/>
          <w:lang w:eastAsia="zh-CN"/>
        </w:rPr>
        <w:t>施行</w:t>
      </w:r>
      <w:r>
        <w:rPr>
          <w:rFonts w:hint="eastAsia" w:ascii="仿宋_GB2312" w:hAnsi="仿宋_GB2312" w:eastAsia="仿宋_GB2312" w:cs="仿宋_GB2312"/>
          <w:color w:val="auto"/>
          <w:sz w:val="32"/>
          <w:szCs w:val="36"/>
        </w:rPr>
        <w:t>。2020级学生参照</w:t>
      </w:r>
      <w:r>
        <w:rPr>
          <w:rFonts w:hint="eastAsia" w:ascii="仿宋_GB2312" w:hAnsi="仿宋_GB2312" w:cs="仿宋_GB2312"/>
          <w:color w:val="auto"/>
          <w:sz w:val="32"/>
          <w:szCs w:val="36"/>
          <w:lang w:eastAsia="zh-CN"/>
        </w:rPr>
        <w:t>施行</w:t>
      </w:r>
      <w:r>
        <w:rPr>
          <w:rFonts w:hint="eastAsia" w:ascii="仿宋_GB2312" w:hAnsi="仿宋_GB2312" w:eastAsia="仿宋_GB2312" w:cs="仿宋_GB2312"/>
          <w:color w:val="auto"/>
          <w:sz w:val="32"/>
          <w:szCs w:val="36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658" w:firstLineChars="20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6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6"/>
        </w:rPr>
        <w:t>2.学籍异动学生无法进行学分替代的参照本</w:t>
      </w:r>
      <w:r>
        <w:rPr>
          <w:rFonts w:hint="eastAsia" w:ascii="仿宋_GB2312" w:hAnsi="仿宋_GB2312" w:eastAsia="仿宋_GB2312" w:cs="仿宋_GB2312"/>
          <w:color w:val="auto"/>
          <w:sz w:val="32"/>
          <w:szCs w:val="36"/>
          <w:lang w:eastAsia="zh-CN"/>
        </w:rPr>
        <w:t>办法</w:t>
      </w:r>
      <w:r>
        <w:rPr>
          <w:rFonts w:hint="eastAsia" w:ascii="仿宋_GB2312" w:hAnsi="仿宋_GB2312" w:cs="仿宋_GB2312"/>
          <w:color w:val="auto"/>
          <w:sz w:val="32"/>
          <w:szCs w:val="36"/>
          <w:lang w:eastAsia="zh-CN"/>
        </w:rPr>
        <w:t>施行</w:t>
      </w:r>
      <w:r>
        <w:rPr>
          <w:rFonts w:hint="eastAsia" w:ascii="仿宋_GB2312" w:hAnsi="仿宋_GB2312" w:eastAsia="仿宋_GB2312" w:cs="仿宋_GB2312"/>
          <w:color w:val="auto"/>
          <w:sz w:val="32"/>
          <w:szCs w:val="36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658" w:firstLineChars="20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6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6"/>
        </w:rPr>
        <w:t>3.本办法由校教务部负责解释。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00" w:lineRule="exact"/>
        <w:ind w:firstLine="643"/>
        <w:contextualSpacing/>
        <w:textAlignment w:val="auto"/>
        <w:rPr>
          <w:rFonts w:hint="eastAsia" w:ascii="仿宋_GB2312" w:hAnsi="仿宋_GB2312" w:eastAsia="仿宋_GB2312" w:cs="仿宋_GB2312"/>
          <w:color w:val="000000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00" w:lineRule="exact"/>
        <w:ind w:firstLine="643"/>
        <w:contextualSpacing/>
        <w:textAlignment w:val="auto"/>
        <w:rPr>
          <w:rFonts w:hint="eastAsia" w:ascii="仿宋_GB2312" w:hAnsi="仿宋_GB2312" w:eastAsia="仿宋_GB2312" w:cs="仿宋_GB2312"/>
          <w:color w:val="000000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00" w:lineRule="exact"/>
        <w:ind w:firstLine="643"/>
        <w:contextualSpacing/>
        <w:textAlignment w:val="auto"/>
        <w:rPr>
          <w:rFonts w:hint="eastAsia" w:ascii="仿宋_GB2312" w:hAnsi="仿宋_GB2312" w:eastAsia="仿宋_GB2312" w:cs="仿宋_GB2312"/>
          <w:color w:val="000000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00" w:lineRule="exact"/>
        <w:ind w:firstLine="643"/>
        <w:contextualSpacing/>
        <w:textAlignment w:val="auto"/>
        <w:rPr>
          <w:rFonts w:hint="eastAsia" w:ascii="仿宋_GB2312" w:hAnsi="仿宋_GB2312" w:eastAsia="仿宋_GB2312" w:cs="仿宋_GB2312"/>
          <w:color w:val="000000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00" w:lineRule="exact"/>
        <w:ind w:left="0" w:leftChars="0" w:firstLine="0" w:firstLineChars="0"/>
        <w:contextualSpacing/>
        <w:textAlignment w:val="auto"/>
        <w:rPr>
          <w:rFonts w:hint="eastAsia" w:ascii="仿宋_GB2312" w:hAnsi="仿宋_GB2312" w:eastAsia="仿宋_GB2312" w:cs="仿宋_GB2312"/>
          <w:color w:val="000000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00" w:lineRule="exact"/>
        <w:ind w:left="0" w:leftChars="0" w:firstLine="0" w:firstLineChars="0"/>
        <w:contextualSpacing/>
        <w:textAlignment w:val="auto"/>
        <w:rPr>
          <w:rFonts w:hint="eastAsia" w:ascii="仿宋_GB2312" w:hAnsi="仿宋_GB2312" w:eastAsia="仿宋_GB2312" w:cs="仿宋_GB2312"/>
          <w:color w:val="000000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00" w:lineRule="exact"/>
        <w:ind w:left="0" w:leftChars="0" w:firstLine="0" w:firstLineChars="0"/>
        <w:contextualSpacing/>
        <w:textAlignment w:val="auto"/>
        <w:rPr>
          <w:rFonts w:hint="eastAsia" w:ascii="仿宋_GB2312" w:hAnsi="仿宋_GB2312" w:eastAsia="仿宋_GB2312" w:cs="仿宋_GB2312"/>
          <w:color w:val="000000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00" w:lineRule="exact"/>
        <w:ind w:left="0" w:leftChars="0" w:firstLine="0" w:firstLineChars="0"/>
        <w:contextualSpacing/>
        <w:textAlignment w:val="auto"/>
        <w:rPr>
          <w:rFonts w:hint="eastAsia" w:ascii="仿宋_GB2312" w:hAnsi="仿宋_GB2312" w:eastAsia="仿宋_GB2312" w:cs="仿宋_GB2312"/>
          <w:color w:val="000000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00" w:lineRule="exact"/>
        <w:ind w:left="0" w:leftChars="0" w:firstLine="0" w:firstLineChars="0"/>
        <w:contextualSpacing/>
        <w:textAlignment w:val="auto"/>
        <w:rPr>
          <w:rFonts w:hint="eastAsia" w:ascii="仿宋_GB2312" w:hAnsi="仿宋_GB2312" w:eastAsia="仿宋_GB2312" w:cs="仿宋_GB2312"/>
          <w:color w:val="000000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00" w:lineRule="exact"/>
        <w:ind w:left="0" w:leftChars="0" w:firstLine="0" w:firstLineChars="0"/>
        <w:contextualSpacing/>
        <w:textAlignment w:val="auto"/>
        <w:rPr>
          <w:rFonts w:hint="eastAsia" w:ascii="仿宋_GB2312" w:hAnsi="仿宋_GB2312" w:eastAsia="仿宋_GB2312" w:cs="仿宋_GB2312"/>
          <w:color w:val="000000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00" w:lineRule="exact"/>
        <w:ind w:left="0" w:leftChars="0" w:firstLine="0" w:firstLineChars="0"/>
        <w:contextualSpacing/>
        <w:textAlignment w:val="auto"/>
        <w:rPr>
          <w:rFonts w:hint="eastAsia" w:ascii="仿宋_GB2312" w:hAnsi="仿宋_GB2312" w:eastAsia="仿宋_GB2312" w:cs="仿宋_GB2312"/>
          <w:color w:val="000000"/>
          <w:szCs w:val="32"/>
        </w:rPr>
      </w:pP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00" w:lineRule="exact"/>
        <w:ind w:left="0" w:leftChars="0" w:firstLine="0" w:firstLineChars="0"/>
        <w:contextualSpacing/>
        <w:textAlignment w:val="auto"/>
        <w:rPr>
          <w:rFonts w:hint="eastAsia" w:ascii="仿宋_GB2312" w:hAnsi="仿宋_GB2312" w:eastAsia="仿宋_GB2312" w:cs="仿宋_GB2312"/>
          <w:color w:val="000000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00" w:lineRule="exact"/>
        <w:ind w:left="0" w:leftChars="0" w:firstLine="0" w:firstLineChars="0"/>
        <w:contextualSpacing/>
        <w:textAlignment w:val="auto"/>
        <w:rPr>
          <w:rFonts w:hint="eastAsia" w:ascii="仿宋_GB2312" w:hAnsi="仿宋_GB2312" w:eastAsia="仿宋_GB2312" w:cs="仿宋_GB2312"/>
          <w:color w:val="000000"/>
          <w:szCs w:val="32"/>
        </w:rPr>
      </w:pPr>
    </w:p>
    <w:p>
      <w:pPr>
        <w:ind w:firstLine="219"/>
        <w:rPr>
          <w:sz w:val="10"/>
          <w:szCs w:val="10"/>
        </w:rPr>
      </w:pPr>
    </w:p>
    <w:tbl>
      <w:tblPr>
        <w:tblStyle w:val="11"/>
        <w:tblpPr w:leftFromText="180" w:rightFromText="180" w:vertAnchor="text" w:horzAnchor="page" w:tblpX="1571" w:tblpY="474"/>
        <w:tblOverlap w:val="never"/>
        <w:tblW w:w="9061" w:type="dxa"/>
        <w:tblInd w:w="0" w:type="dxa"/>
        <w:tblBorders>
          <w:top w:val="single" w:color="auto" w:sz="8" w:space="0"/>
          <w:left w:val="none" w:color="auto" w:sz="0" w:space="0"/>
          <w:bottom w:val="single" w:color="auto" w:sz="8" w:space="0"/>
          <w:right w:val="none" w:color="auto" w:sz="0" w:space="0"/>
          <w:insideH w:val="single" w:color="auto" w:sz="6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72"/>
        <w:gridCol w:w="4868"/>
        <w:gridCol w:w="3487"/>
        <w:gridCol w:w="334"/>
      </w:tblGrid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single" w:color="auto" w:sz="6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72" w:type="dxa"/>
            <w:tcBorders>
              <w:tl2br w:val="nil"/>
              <w:tr2bl w:val="nil"/>
            </w:tcBorders>
          </w:tcPr>
          <w:p>
            <w:pPr>
              <w:ind w:firstLine="579"/>
              <w:rPr>
                <w:rFonts w:ascii="仿宋" w:hAnsi="仿宋" w:eastAsia="仿宋" w:cs="仿宋"/>
                <w:sz w:val="28"/>
                <w:szCs w:val="28"/>
              </w:rPr>
            </w:pPr>
          </w:p>
        </w:tc>
        <w:tc>
          <w:tcPr>
            <w:tcW w:w="4868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ind w:firstLine="0" w:firstLineChars="0"/>
              <w:jc w:val="left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</w:rPr>
              <w:t>嘉兴职业技术学院办公室</w:t>
            </w:r>
          </w:p>
        </w:tc>
        <w:tc>
          <w:tcPr>
            <w:tcW w:w="3487" w:type="dxa"/>
            <w:tcBorders>
              <w:tl2br w:val="nil"/>
              <w:tr2bl w:val="nil"/>
            </w:tcBorders>
            <w:vAlign w:val="center"/>
          </w:tcPr>
          <w:p>
            <w:pPr>
              <w:spacing w:line="240" w:lineRule="auto"/>
              <w:ind w:firstLine="0" w:firstLineChars="0"/>
              <w:jc w:val="right"/>
              <w:rPr>
                <w:rFonts w:hint="eastAsia" w:ascii="仿宋_GB2312" w:hAnsi="仿宋_GB2312" w:eastAsia="仿宋_GB2312" w:cs="仿宋_GB2312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</w:rPr>
              <w:t>2021年</w:t>
            </w:r>
            <w:r>
              <w:rPr>
                <w:rFonts w:hint="eastAsia" w:ascii="仿宋_GB2312" w:hAnsi="仿宋_GB2312" w:cs="仿宋_GB2312"/>
                <w:sz w:val="32"/>
                <w:szCs w:val="32"/>
                <w:lang w:val="en-US" w:eastAsia="zh-CN"/>
              </w:rPr>
              <w:t>8</w:t>
            </w:r>
            <w:r>
              <w:rPr>
                <w:rFonts w:hint="eastAsia" w:ascii="仿宋_GB2312" w:hAnsi="仿宋_GB2312" w:eastAsia="仿宋_GB2312" w:cs="仿宋_GB2312"/>
                <w:sz w:val="32"/>
                <w:szCs w:val="32"/>
              </w:rPr>
              <w:t>月</w:t>
            </w:r>
            <w:r>
              <w:rPr>
                <w:rFonts w:hint="eastAsia" w:ascii="仿宋_GB2312" w:hAnsi="仿宋_GB2312" w:cs="仿宋_GB2312"/>
                <w:sz w:val="32"/>
                <w:szCs w:val="32"/>
                <w:lang w:val="en-US" w:eastAsia="zh-CN"/>
              </w:rPr>
              <w:t>19</w:t>
            </w:r>
            <w:r>
              <w:rPr>
                <w:rFonts w:hint="eastAsia" w:ascii="仿宋_GB2312" w:hAnsi="仿宋_GB2312" w:eastAsia="仿宋_GB2312" w:cs="仿宋_GB2312"/>
                <w:sz w:val="32"/>
                <w:szCs w:val="32"/>
              </w:rPr>
              <w:t>日印发</w:t>
            </w:r>
          </w:p>
        </w:tc>
        <w:tc>
          <w:tcPr>
            <w:tcW w:w="334" w:type="dxa"/>
            <w:tcBorders>
              <w:tl2br w:val="nil"/>
              <w:tr2bl w:val="nil"/>
            </w:tcBorders>
          </w:tcPr>
          <w:p>
            <w:pPr>
              <w:ind w:firstLine="579"/>
              <w:rPr>
                <w:rFonts w:ascii="仿宋" w:hAnsi="仿宋" w:eastAsia="仿宋" w:cs="仿宋"/>
                <w:sz w:val="28"/>
                <w:szCs w:val="28"/>
              </w:rPr>
            </w:pPr>
          </w:p>
        </w:tc>
      </w:tr>
    </w:tbl>
    <w:p>
      <w:pPr>
        <w:spacing w:line="324" w:lineRule="auto"/>
        <w:ind w:firstLine="219"/>
        <w:jc w:val="left"/>
        <w:rPr>
          <w:rFonts w:ascii="仿宋_GB2312" w:hAnsi="仿宋_GB2312" w:cs="仿宋_GB2312"/>
          <w:color w:val="000000"/>
          <w:sz w:val="10"/>
          <w:szCs w:val="10"/>
        </w:rPr>
      </w:pP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2098" w:right="1474" w:bottom="1984" w:left="1587" w:header="851" w:footer="992" w:gutter="0"/>
      <w:pgNumType w:fmt="numberInDash"/>
      <w:cols w:space="720" w:num="1"/>
      <w:docGrid w:type="linesAndChars" w:linePitch="593" w:charSpace="1987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658"/>
      </w:pPr>
      <w:r>
        <w:separator/>
      </w:r>
    </w:p>
  </w:endnote>
  <w:endnote w:type="continuationSeparator" w:id="1">
    <w:p>
      <w:pPr>
        <w:spacing w:line="240" w:lineRule="auto"/>
        <w:ind w:firstLine="658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92D1A2BC-DF4A-4056-8BC4-7DCE866AA82D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EB09C851-11B5-4E5D-94F4-81509454B4E0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A93C56D5-EB00-474C-8C59-31A168960BFC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D2B8FFAB-83AA-47CE-9F83-7DAE1A250187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B6DC6825-60F0-46F1-BEB3-87E1EC10A7E4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2C1864C2-E698-4398-8213-8D067A418AFC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7" w:fontKey="{85156A65-E745-4970-AAED-2C8BFEBC3EA4}"/>
  </w:font>
  <w:font w:name="方正大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753044C1-A057-4FA0-A981-EE421F404BFD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9" w:fontKey="{B6AA6AB6-5544-4B1C-B3E6-CB42C722CD2B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10" w:fontKey="{67FD620E-C8C4-4608-BD97-13C69BCC53C8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大标宋简体">
    <w:panose1 w:val="02010601030101010101"/>
    <w:charset w:val="86"/>
    <w:family w:val="auto"/>
    <w:pitch w:val="default"/>
    <w:sig w:usb0="00000001" w:usb1="080E0000" w:usb2="00000000" w:usb3="00000000" w:csb0="00040000" w:csb1="00000000"/>
    <w:embedRegular r:id="rId11" w:fontKey="{3011CD46-8E0B-4667-9C3B-17A1FD3D7C7B}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  <w:embedRegular r:id="rId12" w:fontKey="{275A518C-8E58-4AB6-B183-B6041238A003}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tabs>
        <w:tab w:val="center" w:pos="4153"/>
        <w:tab w:val="right" w:pos="8306"/>
      </w:tabs>
      <w:ind w:firstLine="640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posOffset>4597400</wp:posOffset>
              </wp:positionH>
              <wp:positionV relativeFrom="paragraph">
                <wp:posOffset>19050</wp:posOffset>
              </wp:positionV>
              <wp:extent cx="889635" cy="346075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tabs>
                              <w:tab w:val="center" w:pos="4153"/>
                              <w:tab w:val="right" w:pos="8306"/>
                            </w:tabs>
                            <w:ind w:firstLine="560"/>
                            <w:rPr>
                              <w:rFonts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宋体" w:hAnsi="宋体" w:eastAsia="宋体" w:cs="宋体"/>
                              <w:sz w:val="28"/>
                              <w:szCs w:val="28"/>
                            </w:rPr>
                            <w:t>- 1 -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62pt;margin-top:1.5pt;height:27.25pt;width:70.05pt;mso-position-horizontal-relative:margin;mso-wrap-style:none;z-index:251659264;mso-width-relative:page;mso-height-relative:page;" filled="f" stroked="f" coordsize="21600,21600" o:gfxdata="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tabs>
                        <w:tab w:val="center" w:pos="4153"/>
                        <w:tab w:val="right" w:pos="8306"/>
                      </w:tabs>
                      <w:ind w:firstLine="560"/>
                      <w:rPr>
                        <w:rFonts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宋体" w:hAnsi="宋体" w:eastAsia="宋体" w:cs="宋体"/>
                        <w:sz w:val="28"/>
                        <w:szCs w:val="28"/>
                      </w:rPr>
                      <w:t>- 1 -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tabs>
        <w:tab w:val="center" w:pos="4153"/>
        <w:tab w:val="right" w:pos="8306"/>
      </w:tabs>
      <w:ind w:firstLine="640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889635" cy="346075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tabs>
                              <w:tab w:val="center" w:pos="4153"/>
                              <w:tab w:val="right" w:pos="8306"/>
                            </w:tabs>
                            <w:ind w:firstLine="560"/>
                            <w:rPr>
                              <w:rFonts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宋体" w:hAnsi="宋体" w:eastAsia="宋体" w:cs="宋体"/>
                              <w:sz w:val="28"/>
                              <w:szCs w:val="28"/>
                            </w:rPr>
                            <w:t>- 2 -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27.25pt;width:70.05pt;mso-position-horizontal:outside;mso-position-horizontal-relative:margin;mso-wrap-style:none;z-index:251660288;mso-width-relative:page;mso-height-relative:page;" filled="f" stroked="f" coordsize="21600,21600" o:gfxdata="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DvaAKk0gAAAAQBAAAPAAAAAAAAAAEAIAAAACIAAABkcnMv&#10;ZG93bnJldi54bWxQSwECFAAUAAAACACHTuJAHhoS99ABAACkAwAADgAAAAAAAAABACAAAAAhAQAA&#10;ZHJzL2Uyb0RvYy54bWxQSwUGAAAAAAYABgBZAQAAYw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tabs>
                        <w:tab w:val="center" w:pos="4153"/>
                        <w:tab w:val="right" w:pos="8306"/>
                      </w:tabs>
                      <w:ind w:firstLine="560"/>
                      <w:rPr>
                        <w:rFonts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宋体" w:hAnsi="宋体" w:eastAsia="宋体" w:cs="宋体"/>
                        <w:sz w:val="28"/>
                        <w:szCs w:val="28"/>
                      </w:rPr>
                      <w:t>- 2 -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tabs>
        <w:tab w:val="center" w:pos="4153"/>
        <w:tab w:val="right" w:pos="8306"/>
      </w:tabs>
      <w:ind w:firstLine="64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658"/>
      </w:pPr>
      <w:r>
        <w:separator/>
      </w:r>
    </w:p>
  </w:footnote>
  <w:footnote w:type="continuationSeparator" w:id="1">
    <w:p>
      <w:pPr>
        <w:spacing w:line="240" w:lineRule="auto"/>
        <w:ind w:firstLine="658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ind w:left="640" w:firstLine="0" w:firstLineChars="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ind w:left="640" w:firstLine="0" w:firstLineChars="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tabs>
        <w:tab w:val="center" w:pos="4153"/>
        <w:tab w:val="right" w:pos="8306"/>
      </w:tabs>
      <w:ind w:firstLine="64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D047B84"/>
    <w:multiLevelType w:val="singleLevel"/>
    <w:tmpl w:val="ED047B84"/>
    <w:lvl w:ilvl="0" w:tentative="0">
      <w:start w:val="1"/>
      <w:numFmt w:val="chineseCounting"/>
      <w:pStyle w:val="17"/>
      <w:suff w:val="space"/>
      <w:lvlText w:val="第%1条"/>
      <w:lvlJc w:val="left"/>
      <w:pPr>
        <w:tabs>
          <w:tab w:val="left" w:pos="640"/>
        </w:tabs>
      </w:pPr>
      <w:rPr>
        <w:rFonts w:hint="eastAsia" w:ascii="宋体" w:hAnsi="宋体" w:eastAsia="仿宋_GB2312" w:cs="宋体"/>
        <w:b/>
        <w:sz w:val="32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attachedTemplate r:id="rId1"/>
  <w:documentProtection w:enforcement="0"/>
  <w:defaultTabStop w:val="420"/>
  <w:evenAndOddHeaders w:val="1"/>
  <w:drawingGridHorizontalSpacing w:val="165"/>
  <w:drawingGridVerticalSpacing w:val="296"/>
  <w:displayHorizontalDrawingGridEvery w:val="2"/>
  <w:displayVerticalDrawingGridEvery w:val="2"/>
  <w:characterSpacingControl w:val="compressPunctuation"/>
  <w:noLineBreaksAfter w:lang="zh-CN" w:val="([{·‘“〈《「『【〔〖（．［｛￡￥"/>
  <w:noLineBreaksBefore w:lang="zh-CN" w:val="!),.:;?]}¨·ˇˉ―‖’”…∶、。〃々〉》」』】〕〗！＂＇），．：；？］｀｜｝～￠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D0A1CD9"/>
    <w:rsid w:val="000027C6"/>
    <w:rsid w:val="000222D6"/>
    <w:rsid w:val="00037E9F"/>
    <w:rsid w:val="00041729"/>
    <w:rsid w:val="000455B0"/>
    <w:rsid w:val="000470FA"/>
    <w:rsid w:val="00062BE3"/>
    <w:rsid w:val="00084347"/>
    <w:rsid w:val="0009066C"/>
    <w:rsid w:val="00095DC1"/>
    <w:rsid w:val="000A5A13"/>
    <w:rsid w:val="000F5EE4"/>
    <w:rsid w:val="00126859"/>
    <w:rsid w:val="00127B9D"/>
    <w:rsid w:val="00134A17"/>
    <w:rsid w:val="00141931"/>
    <w:rsid w:val="0014309F"/>
    <w:rsid w:val="00147DA7"/>
    <w:rsid w:val="001778F4"/>
    <w:rsid w:val="00184475"/>
    <w:rsid w:val="00184A1C"/>
    <w:rsid w:val="00190B90"/>
    <w:rsid w:val="001C6B04"/>
    <w:rsid w:val="001E2B19"/>
    <w:rsid w:val="002019EA"/>
    <w:rsid w:val="00211124"/>
    <w:rsid w:val="00211D38"/>
    <w:rsid w:val="00216139"/>
    <w:rsid w:val="002407FD"/>
    <w:rsid w:val="00246367"/>
    <w:rsid w:val="00273E34"/>
    <w:rsid w:val="00287249"/>
    <w:rsid w:val="002914D6"/>
    <w:rsid w:val="002975F0"/>
    <w:rsid w:val="002A1013"/>
    <w:rsid w:val="002A74D3"/>
    <w:rsid w:val="002B2260"/>
    <w:rsid w:val="002D0AEB"/>
    <w:rsid w:val="002D34D8"/>
    <w:rsid w:val="002D36BC"/>
    <w:rsid w:val="002F0ACD"/>
    <w:rsid w:val="002F16D2"/>
    <w:rsid w:val="00316B5E"/>
    <w:rsid w:val="00322059"/>
    <w:rsid w:val="0032499F"/>
    <w:rsid w:val="003326C1"/>
    <w:rsid w:val="00334756"/>
    <w:rsid w:val="00356755"/>
    <w:rsid w:val="00356C84"/>
    <w:rsid w:val="00375A69"/>
    <w:rsid w:val="003974CC"/>
    <w:rsid w:val="003D2F66"/>
    <w:rsid w:val="003E016F"/>
    <w:rsid w:val="003E3BA4"/>
    <w:rsid w:val="003F403D"/>
    <w:rsid w:val="00407051"/>
    <w:rsid w:val="00425C9A"/>
    <w:rsid w:val="0043505F"/>
    <w:rsid w:val="00455DCE"/>
    <w:rsid w:val="004D1301"/>
    <w:rsid w:val="004D292B"/>
    <w:rsid w:val="004F4DA6"/>
    <w:rsid w:val="0052385F"/>
    <w:rsid w:val="005533C2"/>
    <w:rsid w:val="00555C52"/>
    <w:rsid w:val="00563150"/>
    <w:rsid w:val="005640F6"/>
    <w:rsid w:val="00576D2D"/>
    <w:rsid w:val="00581A02"/>
    <w:rsid w:val="005830F4"/>
    <w:rsid w:val="005A08DD"/>
    <w:rsid w:val="005D3B85"/>
    <w:rsid w:val="005E7C36"/>
    <w:rsid w:val="005F7304"/>
    <w:rsid w:val="00646C45"/>
    <w:rsid w:val="006519AA"/>
    <w:rsid w:val="0066541E"/>
    <w:rsid w:val="00670808"/>
    <w:rsid w:val="00693917"/>
    <w:rsid w:val="006A2270"/>
    <w:rsid w:val="006A5991"/>
    <w:rsid w:val="006C4D7B"/>
    <w:rsid w:val="006D73A4"/>
    <w:rsid w:val="006F7E89"/>
    <w:rsid w:val="007208BB"/>
    <w:rsid w:val="00725CC2"/>
    <w:rsid w:val="00736FB0"/>
    <w:rsid w:val="00747ACE"/>
    <w:rsid w:val="00750C11"/>
    <w:rsid w:val="00760918"/>
    <w:rsid w:val="00770E0E"/>
    <w:rsid w:val="007A264E"/>
    <w:rsid w:val="007A3153"/>
    <w:rsid w:val="007B74AE"/>
    <w:rsid w:val="007B74CF"/>
    <w:rsid w:val="007D7B06"/>
    <w:rsid w:val="0080158C"/>
    <w:rsid w:val="0080209A"/>
    <w:rsid w:val="00804144"/>
    <w:rsid w:val="00805548"/>
    <w:rsid w:val="0081445D"/>
    <w:rsid w:val="0081788D"/>
    <w:rsid w:val="00825E2B"/>
    <w:rsid w:val="008357EC"/>
    <w:rsid w:val="008C74E6"/>
    <w:rsid w:val="008D6833"/>
    <w:rsid w:val="00914EAA"/>
    <w:rsid w:val="0092018D"/>
    <w:rsid w:val="00927A21"/>
    <w:rsid w:val="00931659"/>
    <w:rsid w:val="00935888"/>
    <w:rsid w:val="00975C39"/>
    <w:rsid w:val="00982F28"/>
    <w:rsid w:val="009C42E2"/>
    <w:rsid w:val="009C6E35"/>
    <w:rsid w:val="009D2DCF"/>
    <w:rsid w:val="009E10D5"/>
    <w:rsid w:val="00A31E04"/>
    <w:rsid w:val="00A44476"/>
    <w:rsid w:val="00A452E8"/>
    <w:rsid w:val="00A76319"/>
    <w:rsid w:val="00A77C81"/>
    <w:rsid w:val="00A81B6E"/>
    <w:rsid w:val="00A932F4"/>
    <w:rsid w:val="00AA52A0"/>
    <w:rsid w:val="00AA57BB"/>
    <w:rsid w:val="00AA7EFD"/>
    <w:rsid w:val="00AB5894"/>
    <w:rsid w:val="00AC0F7E"/>
    <w:rsid w:val="00AC6447"/>
    <w:rsid w:val="00AE0AFC"/>
    <w:rsid w:val="00AE0FC3"/>
    <w:rsid w:val="00AE785E"/>
    <w:rsid w:val="00B07105"/>
    <w:rsid w:val="00B23490"/>
    <w:rsid w:val="00B35C30"/>
    <w:rsid w:val="00B53CE0"/>
    <w:rsid w:val="00B73116"/>
    <w:rsid w:val="00B73F0D"/>
    <w:rsid w:val="00B816C9"/>
    <w:rsid w:val="00B8436D"/>
    <w:rsid w:val="00BB0ACB"/>
    <w:rsid w:val="00BB2F67"/>
    <w:rsid w:val="00BE25A5"/>
    <w:rsid w:val="00C06C18"/>
    <w:rsid w:val="00C1293C"/>
    <w:rsid w:val="00C2274B"/>
    <w:rsid w:val="00C254CE"/>
    <w:rsid w:val="00C36725"/>
    <w:rsid w:val="00C46EDB"/>
    <w:rsid w:val="00C54CC1"/>
    <w:rsid w:val="00C56B51"/>
    <w:rsid w:val="00C62560"/>
    <w:rsid w:val="00C838C9"/>
    <w:rsid w:val="00C94BD8"/>
    <w:rsid w:val="00CA2B6B"/>
    <w:rsid w:val="00CB2132"/>
    <w:rsid w:val="00CB6BB2"/>
    <w:rsid w:val="00CC0BD7"/>
    <w:rsid w:val="00CD743F"/>
    <w:rsid w:val="00CF637D"/>
    <w:rsid w:val="00D02299"/>
    <w:rsid w:val="00D549A5"/>
    <w:rsid w:val="00D5693C"/>
    <w:rsid w:val="00D612EF"/>
    <w:rsid w:val="00D709FA"/>
    <w:rsid w:val="00D7796F"/>
    <w:rsid w:val="00D902E9"/>
    <w:rsid w:val="00D91C86"/>
    <w:rsid w:val="00D93359"/>
    <w:rsid w:val="00DA79C6"/>
    <w:rsid w:val="00DC50D4"/>
    <w:rsid w:val="00DC6420"/>
    <w:rsid w:val="00DF2467"/>
    <w:rsid w:val="00E26FF7"/>
    <w:rsid w:val="00E33094"/>
    <w:rsid w:val="00E466B2"/>
    <w:rsid w:val="00E52CB9"/>
    <w:rsid w:val="00E5795B"/>
    <w:rsid w:val="00E60DA4"/>
    <w:rsid w:val="00E925D7"/>
    <w:rsid w:val="00EB346F"/>
    <w:rsid w:val="00EF166D"/>
    <w:rsid w:val="00EF39B0"/>
    <w:rsid w:val="00EF48F9"/>
    <w:rsid w:val="00EF5B4A"/>
    <w:rsid w:val="00F050F9"/>
    <w:rsid w:val="00F0676C"/>
    <w:rsid w:val="00F2593F"/>
    <w:rsid w:val="00F356D0"/>
    <w:rsid w:val="00F47532"/>
    <w:rsid w:val="00F55F30"/>
    <w:rsid w:val="00F658BB"/>
    <w:rsid w:val="00F726D5"/>
    <w:rsid w:val="00F75CAB"/>
    <w:rsid w:val="00F87FB7"/>
    <w:rsid w:val="00FA7AE0"/>
    <w:rsid w:val="00FB7EDF"/>
    <w:rsid w:val="00FE5374"/>
    <w:rsid w:val="00FF6D8A"/>
    <w:rsid w:val="01043F98"/>
    <w:rsid w:val="0156306B"/>
    <w:rsid w:val="01850A2D"/>
    <w:rsid w:val="05772D5C"/>
    <w:rsid w:val="061E0DDA"/>
    <w:rsid w:val="075F12EB"/>
    <w:rsid w:val="09692C1D"/>
    <w:rsid w:val="0BDB630F"/>
    <w:rsid w:val="0CD436C9"/>
    <w:rsid w:val="0D0A1CD9"/>
    <w:rsid w:val="0DC17BEA"/>
    <w:rsid w:val="0E2D1D42"/>
    <w:rsid w:val="0F066D28"/>
    <w:rsid w:val="11705C41"/>
    <w:rsid w:val="12CD121C"/>
    <w:rsid w:val="12E127E8"/>
    <w:rsid w:val="14AC45C5"/>
    <w:rsid w:val="16851C64"/>
    <w:rsid w:val="19491D50"/>
    <w:rsid w:val="19C65D12"/>
    <w:rsid w:val="1BB16F7B"/>
    <w:rsid w:val="1D5E7696"/>
    <w:rsid w:val="1D666241"/>
    <w:rsid w:val="1DC21C90"/>
    <w:rsid w:val="20A61075"/>
    <w:rsid w:val="20AC2806"/>
    <w:rsid w:val="22427A8D"/>
    <w:rsid w:val="22966B3C"/>
    <w:rsid w:val="24317D32"/>
    <w:rsid w:val="265C6064"/>
    <w:rsid w:val="26C04E99"/>
    <w:rsid w:val="27B07517"/>
    <w:rsid w:val="285048D9"/>
    <w:rsid w:val="2A047C9E"/>
    <w:rsid w:val="2A8B4F58"/>
    <w:rsid w:val="2B356C78"/>
    <w:rsid w:val="2BDC0A53"/>
    <w:rsid w:val="2E441219"/>
    <w:rsid w:val="2EF5212B"/>
    <w:rsid w:val="2FAA7033"/>
    <w:rsid w:val="31E617F7"/>
    <w:rsid w:val="327A2265"/>
    <w:rsid w:val="32B06036"/>
    <w:rsid w:val="34A35CD1"/>
    <w:rsid w:val="36CA19F6"/>
    <w:rsid w:val="3841266E"/>
    <w:rsid w:val="38A77BD9"/>
    <w:rsid w:val="39286089"/>
    <w:rsid w:val="395128A4"/>
    <w:rsid w:val="3AE23FD5"/>
    <w:rsid w:val="3B014FB3"/>
    <w:rsid w:val="3B3A7CB5"/>
    <w:rsid w:val="3B947F89"/>
    <w:rsid w:val="3C2A0F24"/>
    <w:rsid w:val="3CAB7FD1"/>
    <w:rsid w:val="3EA012AF"/>
    <w:rsid w:val="3FE52266"/>
    <w:rsid w:val="440B67A7"/>
    <w:rsid w:val="446663C6"/>
    <w:rsid w:val="448B2CCA"/>
    <w:rsid w:val="456E67F3"/>
    <w:rsid w:val="457516BC"/>
    <w:rsid w:val="459270AF"/>
    <w:rsid w:val="46A43FC2"/>
    <w:rsid w:val="46A76EAE"/>
    <w:rsid w:val="46DD07DC"/>
    <w:rsid w:val="46F02EAF"/>
    <w:rsid w:val="474150B8"/>
    <w:rsid w:val="48FA6209"/>
    <w:rsid w:val="4B8E7A60"/>
    <w:rsid w:val="4B9B56F7"/>
    <w:rsid w:val="4CB47F79"/>
    <w:rsid w:val="4E3E2AA3"/>
    <w:rsid w:val="4F16657D"/>
    <w:rsid w:val="4F6B740D"/>
    <w:rsid w:val="4FF87B9F"/>
    <w:rsid w:val="50364AE8"/>
    <w:rsid w:val="505A4524"/>
    <w:rsid w:val="50730767"/>
    <w:rsid w:val="5187389D"/>
    <w:rsid w:val="518B287E"/>
    <w:rsid w:val="51EE7993"/>
    <w:rsid w:val="5253552B"/>
    <w:rsid w:val="52A52A4A"/>
    <w:rsid w:val="537F05BC"/>
    <w:rsid w:val="55E26407"/>
    <w:rsid w:val="56A034AC"/>
    <w:rsid w:val="57AB6E32"/>
    <w:rsid w:val="57EF212E"/>
    <w:rsid w:val="594B075D"/>
    <w:rsid w:val="5A073D8B"/>
    <w:rsid w:val="5A9D20DF"/>
    <w:rsid w:val="5CA670B2"/>
    <w:rsid w:val="5CC63075"/>
    <w:rsid w:val="5EC53790"/>
    <w:rsid w:val="5F1D63CA"/>
    <w:rsid w:val="5FE71D91"/>
    <w:rsid w:val="60713E8A"/>
    <w:rsid w:val="6202633D"/>
    <w:rsid w:val="62475B65"/>
    <w:rsid w:val="65652AB5"/>
    <w:rsid w:val="66475BD0"/>
    <w:rsid w:val="66C47E60"/>
    <w:rsid w:val="689418A5"/>
    <w:rsid w:val="69E11805"/>
    <w:rsid w:val="6B9F5302"/>
    <w:rsid w:val="6C04731F"/>
    <w:rsid w:val="6CFF2AAD"/>
    <w:rsid w:val="6E557F08"/>
    <w:rsid w:val="701C2E92"/>
    <w:rsid w:val="70B25095"/>
    <w:rsid w:val="72E9236B"/>
    <w:rsid w:val="73152843"/>
    <w:rsid w:val="73DE4401"/>
    <w:rsid w:val="743460A3"/>
    <w:rsid w:val="74366314"/>
    <w:rsid w:val="75644DDD"/>
    <w:rsid w:val="7B047795"/>
    <w:rsid w:val="7BB44E11"/>
    <w:rsid w:val="7CCB0B17"/>
    <w:rsid w:val="7F0248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nhideWhenUsed="0" w:uiPriority="99" w:semiHidden="0" w:name="heading 2"/>
    <w:lsdException w:qFormat="1" w:unhideWhenUsed="0" w:uiPriority="9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iPriority="99" w:semiHidden="0" w:name="header"/>
    <w:lsdException w:qFormat="1" w:uiPriority="99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qFormat="1" w:unhideWhenUsed="0" w:uiPriority="99" w:semiHidden="0" w:name="page number"/>
    <w:lsdException w:uiPriority="0" w:name="endnote reference"/>
    <w:lsdException w:uiPriority="0" w:name="endnote text"/>
    <w:lsdException w:unhideWhenUsed="0" w:uiPriority="0" w:semiHidden="0" w:name="table of authorities"/>
    <w:lsdException w:uiPriority="0" w:name="macro"/>
    <w:lsdException w:uiPriority="0" w:name="toa heading"/>
    <w:lsdException w:unhideWhenUsed="0" w:uiPriority="0" w:semiHidden="0" w:name="List"/>
    <w:lsdException w:unhideWhenUsed="0" w:uiPriority="0" w:semiHidden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qFormat="1" w:unhideWhenUsed="0" w:uiPriority="0" w:semiHidden="0" w:name="Body Text Indent"/>
    <w:lsdException w:uiPriority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qFormat="1" w:uiPriority="99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99" w:semiHidden="0" w:name="Table Grid"/>
    <w:lsdException w:uiPriority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adjustRightInd w:val="0"/>
      <w:snapToGrid w:val="0"/>
      <w:spacing w:line="360" w:lineRule="auto"/>
      <w:ind w:firstLine="328" w:firstLineChars="200"/>
      <w:jc w:val="both"/>
    </w:pPr>
    <w:rPr>
      <w:rFonts w:ascii="Times New Roman" w:hAnsi="Times New Roman" w:eastAsia="仿宋_GB2312" w:cs="Times New Roman"/>
      <w:kern w:val="2"/>
      <w:sz w:val="32"/>
      <w:lang w:val="en-US" w:eastAsia="zh-CN" w:bidi="ar-SA"/>
    </w:rPr>
  </w:style>
  <w:style w:type="paragraph" w:styleId="2">
    <w:name w:val="heading 1"/>
    <w:basedOn w:val="1"/>
    <w:next w:val="1"/>
    <w:link w:val="23"/>
    <w:qFormat/>
    <w:uiPriority w:val="99"/>
    <w:pPr>
      <w:keepNext/>
      <w:keepLines/>
      <w:spacing w:line="216" w:lineRule="auto"/>
      <w:ind w:firstLine="0" w:firstLineChars="0"/>
      <w:jc w:val="center"/>
      <w:outlineLvl w:val="0"/>
    </w:pPr>
    <w:rPr>
      <w:rFonts w:eastAsia="方正大标宋_GBK"/>
      <w:b/>
      <w:kern w:val="44"/>
      <w:sz w:val="44"/>
      <w:szCs w:val="24"/>
    </w:rPr>
  </w:style>
  <w:style w:type="paragraph" w:styleId="3">
    <w:name w:val="heading 2"/>
    <w:basedOn w:val="1"/>
    <w:next w:val="1"/>
    <w:link w:val="19"/>
    <w:qFormat/>
    <w:uiPriority w:val="99"/>
    <w:pPr>
      <w:keepNext/>
      <w:keepLines/>
      <w:ind w:firstLine="720"/>
      <w:outlineLvl w:val="1"/>
    </w:pPr>
    <w:rPr>
      <w:rFonts w:ascii="Cambria" w:hAnsi="Cambria" w:eastAsia="黑体"/>
      <w:bCs/>
      <w:szCs w:val="32"/>
    </w:rPr>
  </w:style>
  <w:style w:type="paragraph" w:styleId="4">
    <w:name w:val="heading 3"/>
    <w:basedOn w:val="1"/>
    <w:next w:val="1"/>
    <w:link w:val="25"/>
    <w:qFormat/>
    <w:uiPriority w:val="99"/>
    <w:pPr>
      <w:keepNext/>
      <w:keepLines/>
      <w:ind w:firstLine="720"/>
      <w:outlineLvl w:val="2"/>
    </w:pPr>
    <w:rPr>
      <w:rFonts w:ascii="仿宋_GB2312" w:hAnsi="仿宋_GB2312"/>
      <w:b/>
      <w:sz w:val="30"/>
      <w:szCs w:val="24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 Indent"/>
    <w:basedOn w:val="1"/>
    <w:link w:val="20"/>
    <w:qFormat/>
    <w:uiPriority w:val="0"/>
    <w:pPr>
      <w:spacing w:line="480" w:lineRule="auto"/>
      <w:ind w:firstLine="482"/>
    </w:pPr>
    <w:rPr>
      <w:rFonts w:ascii="Calibri" w:hAnsi="Calibri"/>
      <w:spacing w:val="-9"/>
      <w:kern w:val="0"/>
    </w:rPr>
  </w:style>
  <w:style w:type="paragraph" w:styleId="6">
    <w:name w:val="Balloon Text"/>
    <w:basedOn w:val="1"/>
    <w:link w:val="26"/>
    <w:qFormat/>
    <w:uiPriority w:val="0"/>
    <w:pPr>
      <w:spacing w:line="240" w:lineRule="auto"/>
    </w:pPr>
    <w:rPr>
      <w:sz w:val="18"/>
      <w:szCs w:val="18"/>
    </w:rPr>
  </w:style>
  <w:style w:type="paragraph" w:styleId="7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annotation subject"/>
    <w:basedOn w:val="1"/>
    <w:next w:val="1"/>
    <w:link w:val="22"/>
    <w:unhideWhenUsed/>
    <w:qFormat/>
    <w:uiPriority w:val="99"/>
    <w:rPr>
      <w:b/>
      <w:bCs/>
    </w:rPr>
  </w:style>
  <w:style w:type="table" w:styleId="11">
    <w:name w:val="Table Grid"/>
    <w:basedOn w:val="10"/>
    <w:qFormat/>
    <w:uiPriority w:val="9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3">
    <w:name w:val="page number"/>
    <w:qFormat/>
    <w:uiPriority w:val="99"/>
    <w:rPr>
      <w:rFonts w:ascii="Calibri" w:hAnsi="Calibri" w:eastAsia="宋体" w:cs="Times New Roman"/>
      <w:sz w:val="28"/>
    </w:rPr>
  </w:style>
  <w:style w:type="paragraph" w:styleId="14">
    <w:name w:val="No Spacing"/>
    <w:qFormat/>
    <w:uiPriority w:val="1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15">
    <w:name w:val="表格正文（居中）"/>
    <w:basedOn w:val="1"/>
    <w:qFormat/>
    <w:uiPriority w:val="99"/>
    <w:pPr>
      <w:spacing w:line="240" w:lineRule="auto"/>
      <w:ind w:firstLine="0" w:firstLineChars="0"/>
      <w:jc w:val="center"/>
    </w:pPr>
    <w:rPr>
      <w:rFonts w:eastAsia="宋体"/>
      <w:sz w:val="28"/>
      <w:szCs w:val="22"/>
    </w:rPr>
  </w:style>
  <w:style w:type="paragraph" w:customStyle="1" w:styleId="16">
    <w:name w:val="表标题"/>
    <w:qFormat/>
    <w:uiPriority w:val="99"/>
    <w:pPr>
      <w:spacing w:line="240" w:lineRule="exact"/>
      <w:jc w:val="center"/>
    </w:pPr>
    <w:rPr>
      <w:rFonts w:ascii="Times New Roman" w:hAnsi="Times New Roman" w:eastAsia="黑体" w:cs="Times New Roman"/>
      <w:sz w:val="21"/>
      <w:lang w:val="en-US" w:eastAsia="zh-CN" w:bidi="ar-SA"/>
    </w:rPr>
  </w:style>
  <w:style w:type="paragraph" w:customStyle="1" w:styleId="17">
    <w:name w:val="条"/>
    <w:basedOn w:val="1"/>
    <w:qFormat/>
    <w:uiPriority w:val="0"/>
    <w:pPr>
      <w:numPr>
        <w:ilvl w:val="0"/>
        <w:numId w:val="1"/>
      </w:numPr>
      <w:tabs>
        <w:tab w:val="left" w:pos="0"/>
        <w:tab w:val="clear" w:pos="640"/>
      </w:tabs>
      <w:ind w:firstLine="720"/>
    </w:pPr>
    <w:rPr>
      <w:kern w:val="0"/>
    </w:rPr>
  </w:style>
  <w:style w:type="paragraph" w:customStyle="1" w:styleId="18">
    <w:name w:val="章"/>
    <w:basedOn w:val="3"/>
    <w:next w:val="17"/>
    <w:qFormat/>
    <w:uiPriority w:val="0"/>
    <w:pPr>
      <w:ind w:firstLine="0" w:firstLineChars="0"/>
      <w:jc w:val="center"/>
    </w:pPr>
  </w:style>
  <w:style w:type="character" w:customStyle="1" w:styleId="19">
    <w:name w:val="标题 2 字符"/>
    <w:link w:val="3"/>
    <w:qFormat/>
    <w:locked/>
    <w:uiPriority w:val="99"/>
    <w:rPr>
      <w:rFonts w:ascii="Cambria" w:hAnsi="Cambria" w:eastAsia="黑体"/>
      <w:kern w:val="2"/>
      <w:sz w:val="32"/>
    </w:rPr>
  </w:style>
  <w:style w:type="character" w:customStyle="1" w:styleId="20">
    <w:name w:val="正文文本缩进 字符"/>
    <w:link w:val="5"/>
    <w:qFormat/>
    <w:uiPriority w:val="0"/>
    <w:rPr>
      <w:rFonts w:ascii="Calibri" w:hAnsi="Calibri"/>
      <w:spacing w:val="-9"/>
      <w:kern w:val="0"/>
      <w:szCs w:val="20"/>
    </w:rPr>
  </w:style>
  <w:style w:type="character" w:customStyle="1" w:styleId="21">
    <w:name w:val="正文加粗"/>
    <w:qFormat/>
    <w:uiPriority w:val="99"/>
    <w:rPr>
      <w:rFonts w:ascii="Times New Roman" w:hAnsi="Times New Roman" w:eastAsia="仿宋_GB2312" w:cs="Times New Roman"/>
      <w:b/>
      <w:sz w:val="30"/>
    </w:rPr>
  </w:style>
  <w:style w:type="character" w:customStyle="1" w:styleId="22">
    <w:name w:val="批注主题 字符"/>
    <w:link w:val="9"/>
    <w:semiHidden/>
    <w:qFormat/>
    <w:uiPriority w:val="99"/>
    <w:rPr>
      <w:rFonts w:ascii="Times New Roman" w:hAnsi="Times New Roman" w:eastAsia="仿宋_GB2312"/>
      <w:b/>
      <w:bCs/>
      <w:kern w:val="2"/>
      <w:sz w:val="32"/>
      <w:szCs w:val="24"/>
    </w:rPr>
  </w:style>
  <w:style w:type="character" w:customStyle="1" w:styleId="23">
    <w:name w:val="标题 1 字符"/>
    <w:link w:val="2"/>
    <w:qFormat/>
    <w:locked/>
    <w:uiPriority w:val="99"/>
    <w:rPr>
      <w:rFonts w:ascii="Times New Roman" w:hAnsi="Times New Roman" w:eastAsia="方正大标宋_GBK"/>
      <w:b/>
      <w:kern w:val="44"/>
      <w:sz w:val="44"/>
    </w:rPr>
  </w:style>
  <w:style w:type="character" w:customStyle="1" w:styleId="24">
    <w:name w:val="正文压缩"/>
    <w:qFormat/>
    <w:uiPriority w:val="0"/>
    <w:rPr>
      <w:rFonts w:ascii="Times New Roman" w:hAnsi="Times New Roman" w:eastAsia="仿宋_GB2312"/>
      <w:spacing w:val="-9"/>
      <w:sz w:val="32"/>
    </w:rPr>
  </w:style>
  <w:style w:type="character" w:customStyle="1" w:styleId="25">
    <w:name w:val="标题 3 字符"/>
    <w:link w:val="4"/>
    <w:qFormat/>
    <w:locked/>
    <w:uiPriority w:val="99"/>
    <w:rPr>
      <w:rFonts w:ascii="仿宋_GB2312" w:hAnsi="仿宋_GB2312" w:eastAsia="仿宋"/>
      <w:b/>
      <w:kern w:val="2"/>
      <w:sz w:val="24"/>
    </w:rPr>
  </w:style>
  <w:style w:type="character" w:customStyle="1" w:styleId="26">
    <w:name w:val="批注框文本 字符"/>
    <w:basedOn w:val="12"/>
    <w:link w:val="6"/>
    <w:qFormat/>
    <w:uiPriority w:val="0"/>
    <w:rPr>
      <w:rFonts w:eastAsia="仿宋_GB2312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2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Desktop\&#25945;&#21153;&#22788;&#21046;&#24230;&#32534;&#36753;&#23436;&#25104;\&#26657;&#12308;2019&#12309;%20&#21495;%20&#20851;&#20110;&#21360;&#21457;&#23454;&#39564;&#23454;&#35757;&#32791;&#26448;&#31649;&#29702;&#21150;&#27861;&#30340;&#36890;&#30693;.wpt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1D5AA6E-7F89-4EB1-A1CF-B30B2D20879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校〔2019〕 号 关于印发实验实训耗材管理办法的通知.wpt</Template>
  <Company>Microsoft</Company>
  <Pages>3</Pages>
  <Words>215</Words>
  <Characters>1228</Characters>
  <Lines>10</Lines>
  <Paragraphs>2</Paragraphs>
  <TotalTime>1</TotalTime>
  <ScaleCrop>false</ScaleCrop>
  <LinksUpToDate>false</LinksUpToDate>
  <CharactersWithSpaces>1441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2021-01-27T02:43:00Z</dcterms:created>
  <dc:creator>王俊峰</dc:creator>
  <cp:lastModifiedBy>潘雯</cp:lastModifiedBy>
  <cp:lastPrinted>2021-02-25T01:39:00Z</cp:lastPrinted>
  <dcterms:modified xsi:type="dcterms:W3CDTF">2021-08-31T01:57:48Z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KSOSaveFontToCloudKey">
    <vt:lpwstr>0_embed</vt:lpwstr>
  </property>
  <property fmtid="{D5CDD505-2E9C-101B-9397-08002B2CF9AE}" pid="4" name="ICV">
    <vt:lpwstr>B64D448703B24F8E9B87CF8AC15616D9</vt:lpwstr>
  </property>
</Properties>
</file>